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4A" w:rsidRDefault="00CA1D4A" w:rsidP="00CA1D4A">
      <w:pPr>
        <w:pStyle w:val="Tekstpodstawowywcity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Jakie są podstawy prawne zbierania, przetwarzania i przechowywania danych osobowych (także wrażliwych) przez punkty konsultacyjne?</w:t>
      </w:r>
    </w:p>
    <w:p w:rsidR="00CA1D4A" w:rsidRDefault="00CA1D4A" w:rsidP="00CA1D4A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Zgodnie z treścią przepisu art. 27 ust. 1 ustawy z 29 sierpnia 1997 roku o ochronie danych osobowych  (Dz. U. z 2015 </w:t>
      </w:r>
      <w:proofErr w:type="spellStart"/>
      <w:r>
        <w:rPr>
          <w:rFonts w:ascii="Times New Roman" w:hAnsi="Times New Roman"/>
          <w:color w:val="auto"/>
        </w:rPr>
        <w:t>r</w:t>
      </w:r>
      <w:proofErr w:type="spellEnd"/>
      <w:r>
        <w:rPr>
          <w:rFonts w:ascii="Times New Roman" w:hAnsi="Times New Roman"/>
          <w:color w:val="auto"/>
        </w:rPr>
        <w:t>. poz. 2135, ze zm.)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t>„</w:t>
      </w:r>
      <w:r>
        <w:rPr>
          <w:rFonts w:ascii="Times New Roman" w:hAnsi="Times New Roman"/>
          <w:i/>
          <w:iCs/>
          <w:color w:val="auto"/>
        </w:rPr>
        <w:t xml:space="preserve">zabrania się przetwarzania danych ujawniających pochodzenie rasowe lub etniczne, poglądy polityczne, przekonania religijne lub filozoficzne, przynależność wyznaniową, partyjną lub związkową, jak również danych o stanie zdrowia, kodzie genetycznym, nałogach lub życiu seksualnym oraz danych dotyczących </w:t>
      </w:r>
      <w:proofErr w:type="spellStart"/>
      <w:r>
        <w:rPr>
          <w:rFonts w:ascii="Times New Roman" w:hAnsi="Times New Roman"/>
          <w:i/>
          <w:iCs/>
          <w:color w:val="auto"/>
        </w:rPr>
        <w:t>skazań</w:t>
      </w:r>
      <w:proofErr w:type="spellEnd"/>
      <w:r>
        <w:rPr>
          <w:rFonts w:ascii="Times New Roman" w:hAnsi="Times New Roman"/>
          <w:i/>
          <w:iCs/>
          <w:color w:val="auto"/>
        </w:rPr>
        <w:t>, orzeczeń o ukaraniu i mandatów karnych, a także innych orzeczeń wydanych w postępowaniu sądowym lub administracyjnym</w:t>
      </w:r>
      <w:r>
        <w:rPr>
          <w:rFonts w:ascii="Times New Roman" w:hAnsi="Times New Roman"/>
          <w:color w:val="auto"/>
        </w:rPr>
        <w:t>”. W myśl ust. 2 pkt. 2 cytowanego przepisu przetwarzanie danych, o których mowa w ust. 1, jest jednak dopuszczalne, jeżeli</w:t>
      </w:r>
      <w:r>
        <w:rPr>
          <w:rStyle w:val="tabulatory"/>
          <w:rFonts w:ascii="Times New Roman" w:hAnsi="Times New Roman"/>
          <w:color w:val="auto"/>
        </w:rPr>
        <w:t xml:space="preserve"> „</w:t>
      </w:r>
      <w:r>
        <w:rPr>
          <w:rFonts w:ascii="Times New Roman" w:hAnsi="Times New Roman"/>
          <w:i/>
          <w:iCs/>
          <w:color w:val="auto"/>
        </w:rPr>
        <w:t>(…)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i/>
          <w:iCs/>
          <w:color w:val="auto"/>
        </w:rPr>
        <w:t xml:space="preserve">przepis szczególny innej </w:t>
      </w:r>
      <w:hyperlink r:id="rId4" w:anchor="hiperlinkDocsList.rpc?hiperlink=type=merytoryczny:nro=Powszechny.191501:part=a27u2p2:nr=1&amp;full=1" w:tgtFrame="_parent" w:history="1">
        <w:r>
          <w:rPr>
            <w:rStyle w:val="Hipercze"/>
            <w:rFonts w:ascii="Times New Roman" w:hAnsi="Times New Roman"/>
            <w:i/>
            <w:iCs/>
            <w:color w:val="auto"/>
          </w:rPr>
          <w:t>ustawy</w:t>
        </w:r>
      </w:hyperlink>
      <w:r>
        <w:rPr>
          <w:rFonts w:ascii="Times New Roman" w:hAnsi="Times New Roman"/>
          <w:i/>
          <w:iCs/>
          <w:color w:val="auto"/>
        </w:rPr>
        <w:t xml:space="preserve"> zezwala na przetwarzanie takich danych bez zgody osoby, której dane dotyczą, i stwarza pełne gwarancje ich ochrony, (…)</w:t>
      </w:r>
      <w:r>
        <w:rPr>
          <w:rFonts w:ascii="Times New Roman" w:hAnsi="Times New Roman"/>
          <w:color w:val="auto"/>
        </w:rPr>
        <w:t xml:space="preserve">” </w:t>
      </w:r>
    </w:p>
    <w:p w:rsidR="00CA1D4A" w:rsidRDefault="00CA1D4A" w:rsidP="00CA1D4A">
      <w:pPr>
        <w:jc w:val="both"/>
        <w:rPr>
          <w:rFonts w:ascii="Times New Roman" w:hAnsi="Times New Roman"/>
          <w:color w:val="auto"/>
        </w:rPr>
      </w:pPr>
    </w:p>
    <w:p w:rsidR="00CA1D4A" w:rsidRDefault="00CA1D4A" w:rsidP="00CA1D4A">
      <w:pPr>
        <w:jc w:val="both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 xml:space="preserve">Należy zaznaczyć, iż odstępstwa te mają charakter wyjątkowy. Tym samym, przesłanek wymienionych w przepisie art. 27 ust. 2 ww. ustawy, nie należy poddawać wykładni rozszerzającej. Z zapisu art. 27 ust. 2 pkt. 2 wynika, że chodzi wyłącznie o przepis zawarty w źródle prawa o randze ustawy. W świetle wskazanego przepisu inna ustawa musi wyraźnie zezwalać na przetwarzanie danych wrażliwych, czyli m.in. na udostępnianie ich określonym podmiotom albo na zbieranie i wykorzystywanie przez wskazane podmioty (por. komentarz do art. 27 u </w:t>
      </w:r>
      <w:proofErr w:type="spellStart"/>
      <w:r>
        <w:rPr>
          <w:rFonts w:ascii="Times New Roman" w:hAnsi="Times New Roman"/>
          <w:color w:val="auto"/>
        </w:rPr>
        <w:t>o.d.o</w:t>
      </w:r>
      <w:proofErr w:type="spellEnd"/>
      <w:r>
        <w:rPr>
          <w:rFonts w:ascii="Times New Roman" w:hAnsi="Times New Roman"/>
          <w:color w:val="auto"/>
        </w:rPr>
        <w:t xml:space="preserve">. w: Janusz Barta, Paweł </w:t>
      </w:r>
      <w:proofErr w:type="spellStart"/>
      <w:r>
        <w:rPr>
          <w:rFonts w:ascii="Times New Roman" w:hAnsi="Times New Roman"/>
          <w:color w:val="auto"/>
        </w:rPr>
        <w:t>Fajgielski</w:t>
      </w:r>
      <w:proofErr w:type="spellEnd"/>
      <w:r>
        <w:rPr>
          <w:rFonts w:ascii="Times New Roman" w:hAnsi="Times New Roman"/>
          <w:color w:val="auto"/>
        </w:rPr>
        <w:t>, Ryszard Markiewicz, Ustawa o ochronie danych osobowych. Komentarz, LEX, 2011).</w:t>
      </w:r>
    </w:p>
    <w:p w:rsidR="00CA1D4A" w:rsidRDefault="00CA1D4A" w:rsidP="00CA1D4A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Odnosząc powyższe przepisy do sytuacji przetwarzania danych osobowych (także wrażliwych) w punkcie konsultacyjnym, należy wskazać, iż brak jest takiego przepisu rangi ustawowej, który zezwalałby na ich przetwarzanie. Punkty konsultacyjne mogą być tworzone przez samorząd terytorialny, stowarzyszenia abstynenckie i inne podmioty pozarządowe, jednakże nie muszą przybierać żadnej określonej formy organizacyjno-prawnej z uwagi na fakt nie umocowania placówki jaką jest punkt konsultacyjny w systemie prawa polskiego. </w:t>
      </w:r>
    </w:p>
    <w:p w:rsidR="00CA1D4A" w:rsidRDefault="00CA1D4A" w:rsidP="00CA1D4A">
      <w:pPr>
        <w:jc w:val="both"/>
        <w:rPr>
          <w:rFonts w:ascii="Times New Roman" w:hAnsi="Times New Roman"/>
          <w:color w:val="auto"/>
        </w:rPr>
      </w:pPr>
    </w:p>
    <w:p w:rsidR="00CA1D4A" w:rsidRDefault="00CA1D4A" w:rsidP="00CA1D4A">
      <w:pPr>
        <w:jc w:val="both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>W ramach działalności prowadzonej przez punkt konsultacyjny może dojść do uzyskania danych osoby korzystającej z pomocy punktu, w tym także danych wrażliwych. W tej sytuacji wydaje się, iż zastosowanie mógłby mieć przepis art. 27 ust. 2 ustawy o ochronie danych osobowych, tj. „</w:t>
      </w:r>
      <w:r>
        <w:rPr>
          <w:rFonts w:ascii="Times New Roman" w:hAnsi="Times New Roman"/>
          <w:i/>
          <w:iCs/>
          <w:color w:val="auto"/>
          <w:shd w:val="clear" w:color="auto" w:fill="FFFFFF"/>
        </w:rPr>
        <w:t xml:space="preserve">Przetwarzanie </w:t>
      </w:r>
      <w:r>
        <w:rPr>
          <w:rFonts w:ascii="Times New Roman" w:hAnsi="Times New Roman"/>
          <w:i/>
          <w:iCs/>
          <w:color w:val="auto"/>
        </w:rPr>
        <w:t>danych</w:t>
      </w:r>
      <w:r>
        <w:rPr>
          <w:rFonts w:ascii="Times New Roman" w:hAnsi="Times New Roman"/>
          <w:i/>
          <w:iCs/>
          <w:color w:val="auto"/>
          <w:shd w:val="clear" w:color="auto" w:fill="FFFFFF"/>
        </w:rPr>
        <w:t>, o których mowa w ust. 1, jest jednak dopuszczalne, jeżeli:</w:t>
      </w:r>
      <w:r>
        <w:rPr>
          <w:rFonts w:ascii="Times New Roman" w:hAnsi="Times New Roman"/>
          <w:i/>
          <w:iCs/>
          <w:color w:val="auto"/>
        </w:rPr>
        <w:t xml:space="preserve"> 1) osoba, której dane dotyczą, wyrazi na to zgodę na piśmie, chyba że chodzi o usunięcie dotyczących jej danych;(…)”. </w:t>
      </w:r>
      <w:r>
        <w:rPr>
          <w:rFonts w:ascii="Times New Roman" w:hAnsi="Times New Roman"/>
          <w:color w:val="auto"/>
        </w:rPr>
        <w:t xml:space="preserve">Z uwagi na powyższe, przetwarzanie danych osobowych (w tym danych wrażliwych) osób korzystających z pomocy punktu konsultacyjnego, winno być poprzedzone wyrażeniem zgody przez osoby, których dane te dotyczą. Dane pozyskane w wyżej przedstawiony sposób, punkt konsultacyjny będzie obowiązany zgłosić (jako bazę danych) do rejestracji w GIODO, zobowiązany też będzie do przestrzegania zapisów ustawy o ochronie danych osobowych w zakresie przetwarzania danych osobowych, w tym danych wrażliwych. </w:t>
      </w:r>
    </w:p>
    <w:p w:rsidR="00CA1D4A" w:rsidRDefault="00CA1D4A" w:rsidP="00CA1D4A">
      <w:pPr>
        <w:jc w:val="both"/>
        <w:rPr>
          <w:rFonts w:ascii="Times New Roman" w:hAnsi="Times New Roman"/>
          <w:color w:val="auto"/>
        </w:rPr>
      </w:pPr>
    </w:p>
    <w:p w:rsidR="00CA1D4A" w:rsidRDefault="00CA1D4A" w:rsidP="00CA1D4A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Zbieranie danych statystycznych (bez danych osobowych) do sprawozdań z działalności punktu konsultacyjnego w świetle przepisów wydaje się być prawidłowym. Również statystyki w postaci zapisu informacji, ile osób skorzystało z działalności punktu (liczby), dokąd skierowano poszczególne osoby (np. do gminnej komisji rozwiązywania problemów alkoholowych, placówki leczenia uzależnień, ośrodka pomocy społecznej itp.) nie naruszają przepisów ustawy o ochronie danych osobowych. </w:t>
      </w:r>
    </w:p>
    <w:p w:rsidR="00CA1D4A" w:rsidRDefault="00CA1D4A" w:rsidP="00CA1D4A">
      <w:pPr>
        <w:jc w:val="both"/>
        <w:rPr>
          <w:rFonts w:ascii="Times New Roman" w:hAnsi="Times New Roman"/>
          <w:color w:val="auto"/>
        </w:rPr>
      </w:pPr>
    </w:p>
    <w:p w:rsidR="00CA1D4A" w:rsidRDefault="00CA1D4A" w:rsidP="00CA1D4A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Jednocześnie informujemy, iż najlepszym źródłem wiedzy z zakresu przetwarzania danych osobowych jest Generalny Inspektor Ochrony Danych Osobowych. Rekomendujemy zatem </w:t>
      </w:r>
      <w:r>
        <w:rPr>
          <w:rFonts w:ascii="Times New Roman" w:hAnsi="Times New Roman"/>
          <w:color w:val="auto"/>
        </w:rPr>
        <w:lastRenderedPageBreak/>
        <w:t>zasięganie opinii na temat interpretacji stosownych przepisów bezpośrednio w Biurze Generalnego Inspektora Ochrony Danych Osobowych.</w:t>
      </w:r>
    </w:p>
    <w:p w:rsidR="00CA1D4A" w:rsidRDefault="00CA1D4A" w:rsidP="00CA1D4A">
      <w:pPr>
        <w:rPr>
          <w:rFonts w:ascii="Times New Roman" w:hAnsi="Times New Roman"/>
          <w:color w:val="003366"/>
          <w:sz w:val="22"/>
          <w:szCs w:val="22"/>
        </w:rPr>
      </w:pPr>
    </w:p>
    <w:p w:rsidR="0038131F" w:rsidRDefault="0038131F"/>
    <w:sectPr w:rsidR="0038131F" w:rsidSect="0038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D4A"/>
    <w:rsid w:val="0038131F"/>
    <w:rsid w:val="00CA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D4A"/>
    <w:pPr>
      <w:spacing w:after="0" w:line="240" w:lineRule="auto"/>
    </w:pPr>
    <w:rPr>
      <w:rFonts w:ascii="Calibri" w:hAnsi="Calibri" w:cs="Times New Roman"/>
      <w:color w:val="66333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1D4A"/>
    <w:rPr>
      <w:color w:val="99330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1D4A"/>
    <w:pPr>
      <w:spacing w:after="120" w:line="276" w:lineRule="auto"/>
      <w:ind w:left="283"/>
    </w:pPr>
    <w:rPr>
      <w:color w:val="auto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1D4A"/>
    <w:rPr>
      <w:rFonts w:ascii="Calibri" w:hAnsi="Calibri" w:cs="Times New Roman"/>
      <w:lang w:eastAsia="pl-PL"/>
    </w:rPr>
  </w:style>
  <w:style w:type="character" w:customStyle="1" w:styleId="tabulatory">
    <w:name w:val="tabulatory"/>
    <w:basedOn w:val="Domylnaczcionkaakapitu"/>
    <w:rsid w:val="00CA1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3509</Characters>
  <Application>Microsoft Office Word</Application>
  <DocSecurity>0</DocSecurity>
  <Lines>29</Lines>
  <Paragraphs>8</Paragraphs>
  <ScaleCrop>false</ScaleCrop>
  <Company>HP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Parpa ProBook</dc:creator>
  <cp:lastModifiedBy>Parpa ProBook</cp:lastModifiedBy>
  <cp:revision>1</cp:revision>
  <dcterms:created xsi:type="dcterms:W3CDTF">2016-05-18T08:02:00Z</dcterms:created>
  <dcterms:modified xsi:type="dcterms:W3CDTF">2016-05-18T08:04:00Z</dcterms:modified>
</cp:coreProperties>
</file>